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 xml:space="preserve">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 xml:space="preserve">z </w:t>
      </w:r>
      <w:proofErr w:type="spellStart"/>
      <w:r w:rsidR="00AF2E7B">
        <w:t>późn</w:t>
      </w:r>
      <w:proofErr w:type="spellEnd"/>
      <w:r w:rsidR="00AF2E7B">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t>
      </w:r>
      <w:r w:rsidRPr="001F080E">
        <w:rPr>
          <w:rFonts w:eastAsia="Calibri"/>
        </w:rPr>
        <w:lastRenderedPageBreak/>
        <w:t>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w:t>
      </w:r>
      <w:proofErr w:type="spellStart"/>
      <w:r w:rsidRPr="00C51025">
        <w:t>porozumienie</w:t>
      </w:r>
      <w:proofErr w:type="spellEnd"/>
      <w:r w:rsidRPr="00C51025">
        <w:t xml:space="preserv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xml:space="preserve">, z </w:t>
      </w:r>
      <w:proofErr w:type="spellStart"/>
      <w:r w:rsidR="00601151">
        <w:t>późn</w:t>
      </w:r>
      <w:proofErr w:type="spellEnd"/>
      <w:r w:rsidR="00601151">
        <w:t>. zm.</w:t>
      </w:r>
      <w:r w:rsidRPr="001F080E">
        <w:t>);</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r>
      <w:r w:rsidRPr="001F080E">
        <w:lastRenderedPageBreak/>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 xml:space="preserve">z </w:t>
      </w:r>
      <w:proofErr w:type="spellStart"/>
      <w:r w:rsidR="00996CD0" w:rsidRPr="008B6B28">
        <w:t>późn</w:t>
      </w:r>
      <w:proofErr w:type="spellEnd"/>
      <w:r w:rsidR="00996CD0" w:rsidRPr="008B6B28">
        <w:t>.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 xml:space="preserve">z </w:t>
      </w:r>
      <w:proofErr w:type="spellStart"/>
      <w:r w:rsidR="00AF2E7B">
        <w:t>późn</w:t>
      </w:r>
      <w:proofErr w:type="spellEnd"/>
      <w:r w:rsidR="00AF2E7B">
        <w:t>.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lastRenderedPageBreak/>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w:t>
      </w:r>
      <w:r w:rsidRPr="001F080E">
        <w:rPr>
          <w:sz w:val="24"/>
          <w:szCs w:val="24"/>
        </w:rPr>
        <w:lastRenderedPageBreak/>
        <w:t>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 </w:t>
      </w:r>
      <w:r>
        <w:rPr>
          <w:sz w:val="24"/>
          <w:szCs w:val="24"/>
        </w:rPr>
        <w:lastRenderedPageBreak/>
        <w:t>§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w:t>
      </w:r>
      <w:r w:rsidRPr="001F080E">
        <w:rPr>
          <w:sz w:val="24"/>
          <w:szCs w:val="24"/>
        </w:rPr>
        <w:lastRenderedPageBreak/>
        <w:t xml:space="preserve">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FEB6D45"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0056454C">
        <w:rPr>
          <w:sz w:val="24"/>
          <w:szCs w:val="24"/>
        </w:rPr>
        <w:t xml:space="preserve"> </w:t>
      </w:r>
      <w:r w:rsidR="0056454C">
        <w:t>prowadzenie rachunkowości w sposób pozwalający na kontrolę zobowiązania o którym mowa w punkcie</w:t>
      </w:r>
      <w:r w:rsidRPr="00C14519">
        <w:rPr>
          <w:sz w:val="24"/>
          <w:szCs w:val="24"/>
        </w:rPr>
        <w:t>;</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 osób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 xml:space="preserve">umożliwienia przedstawicielom Zarządu Województwa i Agencji dokonywania </w:t>
      </w:r>
      <w:r w:rsidRPr="001F080E">
        <w:lastRenderedPageBreak/>
        <w:t>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lastRenderedPageBreak/>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biznesplanu, w terminie do końca kwartału, następującego po pierwszym roku, liczonym </w:t>
      </w:r>
      <w:r w:rsidRPr="001F080E">
        <w:rPr>
          <w:sz w:val="24"/>
          <w:szCs w:val="24"/>
        </w:rPr>
        <w:lastRenderedPageBreak/>
        <w:t>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Beneficjent nie spełnił któregokolwiek z warunków określonych w ust. 1 oraz nie zaistniały okoliczności, o których mowa w ust. 5, lub zostały naruszone warunki </w:t>
      </w:r>
      <w:r w:rsidRPr="001F080E">
        <w:rPr>
          <w:sz w:val="24"/>
          <w:szCs w:val="24"/>
        </w:rPr>
        <w:lastRenderedPageBreak/>
        <w:t>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lastRenderedPageBreak/>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 xml:space="preserve">przez Beneficjenta </w:t>
      </w:r>
      <w:r w:rsidR="006D2EA1">
        <w:rPr>
          <w:sz w:val="24"/>
          <w:szCs w:val="24"/>
        </w:rPr>
        <w:lastRenderedPageBreak/>
        <w:t>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xml:space="preserve">)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w:t>
      </w:r>
      <w:r w:rsidR="00F31B6F" w:rsidRPr="001F080E">
        <w:rPr>
          <w:sz w:val="24"/>
          <w:szCs w:val="24"/>
        </w:rPr>
        <w:lastRenderedPageBreak/>
        <w:t xml:space="preserve">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sądowych stwierdzających popełnienie przez Beneficjenta, w związku z ubieganiem się </w:t>
      </w:r>
      <w:r w:rsidRPr="001F080E">
        <w:rPr>
          <w:sz w:val="24"/>
          <w:szCs w:val="24"/>
        </w:rPr>
        <w:lastRenderedPageBreak/>
        <w:t>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 xml:space="preserve">Umowa może zostać zmieniona na wniosek każdej ze Stron, przy czym zmiana ta nie może </w:t>
      </w:r>
      <w:r w:rsidRPr="001F080E">
        <w:rPr>
          <w:rFonts w:ascii="Times New Roman" w:hAnsi="Times New Roman"/>
          <w:sz w:val="24"/>
          <w:szCs w:val="24"/>
        </w:rPr>
        <w:lastRenderedPageBreak/>
        <w:t>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w:t>
      </w:r>
      <w:r w:rsidRPr="001F080E">
        <w:rPr>
          <w:rFonts w:ascii="Times New Roman" w:eastAsia="Times New Roman" w:hAnsi="Times New Roman"/>
          <w:sz w:val="24"/>
          <w:szCs w:val="24"/>
          <w:lang w:eastAsia="pl-PL"/>
        </w:rPr>
        <w:lastRenderedPageBreak/>
        <w:t xml:space="preserve">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 xml:space="preserve">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w:t>
      </w:r>
      <w:r w:rsidRPr="001F080E">
        <w:lastRenderedPageBreak/>
        <w:t>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 xml:space="preserve">zwrotu przez Beneficjenta całości otrzymanej pomocy wraz z należnymi odsetkami, </w:t>
      </w:r>
      <w:r w:rsidRPr="001F080E">
        <w:rPr>
          <w:sz w:val="24"/>
          <w:szCs w:val="24"/>
        </w:rPr>
        <w:lastRenderedPageBreak/>
        <w:t>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lastRenderedPageBreak/>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lastRenderedPageBreak/>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 xml:space="preserve">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 xml:space="preserve">z </w:t>
      </w:r>
      <w:proofErr w:type="spellStart"/>
      <w:r w:rsidR="00996CD0" w:rsidRPr="00B76331">
        <w:rPr>
          <w:sz w:val="24"/>
          <w:szCs w:val="24"/>
        </w:rPr>
        <w:t>późn</w:t>
      </w:r>
      <w:proofErr w:type="spellEnd"/>
      <w:r w:rsidR="00996CD0" w:rsidRPr="00B76331">
        <w:rPr>
          <w:sz w:val="24"/>
          <w:szCs w:val="24"/>
        </w:rPr>
        <w:t>.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 xml:space="preserve">z </w:t>
      </w:r>
      <w:proofErr w:type="spellStart"/>
      <w:r w:rsidR="00AF2E7B">
        <w:rPr>
          <w:sz w:val="24"/>
          <w:szCs w:val="24"/>
        </w:rPr>
        <w:t>późn</w:t>
      </w:r>
      <w:proofErr w:type="spellEnd"/>
      <w:r w:rsidR="00AF2E7B">
        <w:rPr>
          <w:sz w:val="24"/>
          <w:szCs w:val="24"/>
        </w:rPr>
        <w:t>.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bookmarkStart w:id="0" w:name="_GoBack"/>
      <w:bookmarkEnd w:id="0"/>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1645" w14:textId="77777777" w:rsidR="002C7A8F" w:rsidRDefault="002C7A8F" w:rsidP="00F31B6F">
      <w:r>
        <w:separator/>
      </w:r>
    </w:p>
  </w:endnote>
  <w:endnote w:type="continuationSeparator" w:id="0">
    <w:p w14:paraId="3BF680C6" w14:textId="77777777" w:rsidR="002C7A8F" w:rsidRDefault="002C7A8F"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F92A75">
      <w:rPr>
        <w:rFonts w:ascii="Cambria" w:hAnsi="Cambria"/>
        <w:b/>
        <w:noProof/>
      </w:rPr>
      <w:t>36</w:t>
    </w:r>
    <w:r w:rsidRPr="00615509">
      <w:rPr>
        <w:rFonts w:ascii="Cambria" w:hAnsi="Cambria"/>
        <w:b/>
      </w:rPr>
      <w:fldChar w:fldCharType="end"/>
    </w:r>
    <w:r w:rsidRPr="00615509">
      <w:rPr>
        <w:rFonts w:ascii="Cambria" w:hAnsi="Cambria"/>
      </w:rPr>
      <w:t xml:space="preserve"> z </w:t>
    </w:r>
    <w:r w:rsidR="002C7A8F">
      <w:fldChar w:fldCharType="begin"/>
    </w:r>
    <w:r w:rsidR="002C7A8F">
      <w:instrText>NUMPAGES  \* Arabic  \* MERGEFORMAT</w:instrText>
    </w:r>
    <w:r w:rsidR="002C7A8F">
      <w:fldChar w:fldCharType="separate"/>
    </w:r>
    <w:r w:rsidR="00F92A75" w:rsidRPr="00F92A75">
      <w:rPr>
        <w:rFonts w:ascii="Cambria" w:hAnsi="Cambria"/>
        <w:b/>
        <w:noProof/>
      </w:rPr>
      <w:t>37</w:t>
    </w:r>
    <w:r w:rsidR="002C7A8F">
      <w:rPr>
        <w:rFonts w:ascii="Cambria" w:hAnsi="Cambria"/>
        <w:b/>
        <w:noProof/>
      </w:rPr>
      <w:fldChar w:fldCharType="end"/>
    </w:r>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50F2" w14:textId="77777777" w:rsidR="002C7A8F" w:rsidRDefault="002C7A8F" w:rsidP="00F31B6F">
      <w:r>
        <w:separator/>
      </w:r>
    </w:p>
  </w:footnote>
  <w:footnote w:type="continuationSeparator" w:id="0">
    <w:p w14:paraId="7F99CB07" w14:textId="77777777" w:rsidR="002C7A8F" w:rsidRDefault="002C7A8F"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6B5F"/>
    <w:rsid w:val="008A2CF4"/>
    <w:rsid w:val="008A4DB3"/>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FC8F7D12-BACC-48FB-89FF-7F52C54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FEB-4733-4F82-93B4-121350EE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16268</Words>
  <Characters>97612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6</cp:revision>
  <cp:lastPrinted>2017-10-10T07:55:00Z</cp:lastPrinted>
  <dcterms:created xsi:type="dcterms:W3CDTF">2017-10-06T07:48:00Z</dcterms:created>
  <dcterms:modified xsi:type="dcterms:W3CDTF">2017-10-10T07:55:00Z</dcterms:modified>
</cp:coreProperties>
</file>